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EE" w:rsidRDefault="00FA39EE" w:rsidP="00FA39EE">
      <w:pPr>
        <w:ind w:left="270"/>
      </w:pPr>
      <w:bookmarkStart w:id="0" w:name="_GoBack"/>
      <w:r>
        <w:rPr>
          <w:noProof/>
          <w:color w:val="000000"/>
        </w:rPr>
        <w:drawing>
          <wp:inline distT="0" distB="0" distL="0" distR="0">
            <wp:extent cx="4747260" cy="2377440"/>
            <wp:effectExtent l="0" t="0" r="0" b="3810"/>
            <wp:docPr id="1" name="Picture 1" descr="Forum-Banner-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Banner-Small-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47260" cy="2377440"/>
                    </a:xfrm>
                    <a:prstGeom prst="rect">
                      <a:avLst/>
                    </a:prstGeom>
                    <a:noFill/>
                    <a:ln>
                      <a:noFill/>
                    </a:ln>
                  </pic:spPr>
                </pic:pic>
              </a:graphicData>
            </a:graphic>
          </wp:inline>
        </w:drawing>
      </w:r>
      <w:bookmarkEnd w:id="0"/>
    </w:p>
    <w:tbl>
      <w:tblPr>
        <w:tblW w:w="5000" w:type="pct"/>
        <w:tblCellMar>
          <w:left w:w="0" w:type="dxa"/>
          <w:right w:w="0" w:type="dxa"/>
        </w:tblCellMar>
        <w:tblLook w:val="04A0" w:firstRow="1" w:lastRow="0" w:firstColumn="1" w:lastColumn="0" w:noHBand="0" w:noVBand="1"/>
      </w:tblPr>
      <w:tblGrid>
        <w:gridCol w:w="9360"/>
      </w:tblGrid>
      <w:tr w:rsidR="00FA39EE" w:rsidTr="00FA39EE">
        <w:tc>
          <w:tcPr>
            <w:tcW w:w="0" w:type="auto"/>
            <w:hideMark/>
          </w:tcPr>
          <w:p w:rsidR="00FA39EE" w:rsidRDefault="00FA39EE"/>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A39EE">
              <w:tc>
                <w:tcPr>
                  <w:tcW w:w="0" w:type="auto"/>
                  <w:tcMar>
                    <w:top w:w="135" w:type="dxa"/>
                    <w:left w:w="270" w:type="dxa"/>
                    <w:bottom w:w="135" w:type="dxa"/>
                    <w:right w:w="270" w:type="dxa"/>
                  </w:tcMar>
                  <w:hideMark/>
                </w:tcPr>
                <w:p w:rsidR="00FA39EE" w:rsidRDefault="00FA39EE">
                  <w:pPr>
                    <w:spacing w:line="300" w:lineRule="auto"/>
                    <w:rPr>
                      <w:rFonts w:ascii="Calibri" w:hAnsi="Calibri"/>
                      <w:sz w:val="22"/>
                      <w:szCs w:val="22"/>
                    </w:rPr>
                  </w:pPr>
                  <w:r>
                    <w:rPr>
                      <w:rFonts w:ascii="Helvetica" w:hAnsi="Helvetica" w:cs="Helvetica"/>
                      <w:b/>
                      <w:bCs/>
                      <w:color w:val="006699"/>
                      <w:spacing w:val="-8"/>
                      <w:sz w:val="32"/>
                      <w:szCs w:val="32"/>
                    </w:rPr>
                    <w:t>The National Forum of State Nursing Workforce Centers Annual Conference</w:t>
                  </w:r>
                </w:p>
                <w:p w:rsidR="00FA39EE" w:rsidRDefault="00FA39EE">
                  <w:pPr>
                    <w:spacing w:line="360" w:lineRule="auto"/>
                    <w:rPr>
                      <w:rFonts w:ascii="Calibri" w:hAnsi="Calibri"/>
                      <w:sz w:val="22"/>
                      <w:szCs w:val="22"/>
                    </w:rPr>
                  </w:pPr>
                  <w:r>
                    <w:rPr>
                      <w:rFonts w:ascii="Helvetica" w:hAnsi="Helvetica" w:cs="Helvetica"/>
                      <w:b/>
                      <w:bCs/>
                      <w:color w:val="606060"/>
                      <w:sz w:val="27"/>
                      <w:szCs w:val="27"/>
                    </w:rPr>
                    <w:t>Call for Abstracts - Podium &amp; Poster</w:t>
                  </w:r>
                  <w:r>
                    <w:rPr>
                      <w:rFonts w:ascii="Helvetica" w:hAnsi="Helvetica" w:cs="Helvetica"/>
                      <w:color w:val="606060"/>
                      <w:sz w:val="23"/>
                      <w:szCs w:val="23"/>
                    </w:rPr>
                    <w:t xml:space="preserve"> </w:t>
                  </w:r>
                </w:p>
                <w:p w:rsidR="00FA39EE" w:rsidRDefault="00FA39EE">
                  <w:pPr>
                    <w:spacing w:line="360" w:lineRule="auto"/>
                    <w:rPr>
                      <w:rFonts w:ascii="Calibri" w:hAnsi="Calibri"/>
                      <w:sz w:val="22"/>
                      <w:szCs w:val="22"/>
                    </w:rPr>
                  </w:pPr>
                  <w:r>
                    <w:rPr>
                      <w:rFonts w:ascii="Helvetica" w:hAnsi="Helvetica" w:cs="Helvetica"/>
                      <w:color w:val="606060"/>
                      <w:sz w:val="23"/>
                      <w:szCs w:val="23"/>
                    </w:rPr>
                    <w:t>The purpose of the 2016 conference is to improve collaboration, cooperation, and communication among workforce centers, healthcare agencies, and policy makers for successful population health outcomes through a strong health workforce. Join us in showcasing nursing initiatives that have been successful through collaboration, cooperation, and communication. Whether you are from a newly minted workforce center, an established center, or interested in transforming the nursing workforce, the conference will enhance your ability to be forward thinking in building successful relationships to advance nursing practice and the nursing workforce.   </w:t>
                  </w:r>
                </w:p>
              </w:tc>
            </w:tr>
          </w:tbl>
          <w:p w:rsidR="00FA39EE" w:rsidRDefault="00FA39EE">
            <w:pPr>
              <w:rPr>
                <w:rFonts w:asciiTheme="minorHAnsi" w:hAnsiTheme="minorHAnsi"/>
                <w:sz w:val="22"/>
                <w:szCs w:val="22"/>
              </w:rPr>
            </w:pPr>
          </w:p>
        </w:tc>
      </w:tr>
      <w:tr w:rsidR="00FA39EE" w:rsidTr="00FA39EE">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A39EE">
              <w:tc>
                <w:tcPr>
                  <w:tcW w:w="0" w:type="auto"/>
                  <w:tcMar>
                    <w:top w:w="135" w:type="dxa"/>
                    <w:left w:w="270" w:type="dxa"/>
                    <w:bottom w:w="135" w:type="dxa"/>
                    <w:right w:w="270" w:type="dxa"/>
                  </w:tcMar>
                  <w:hideMark/>
                </w:tcPr>
                <w:p w:rsidR="00FA39EE" w:rsidRDefault="00FA39EE">
                  <w:pPr>
                    <w:spacing w:line="300" w:lineRule="auto"/>
                    <w:rPr>
                      <w:rFonts w:ascii="Calibri" w:hAnsi="Calibri"/>
                      <w:sz w:val="22"/>
                      <w:szCs w:val="22"/>
                    </w:rPr>
                  </w:pPr>
                  <w:r>
                    <w:rPr>
                      <w:rFonts w:ascii="Helvetica" w:hAnsi="Helvetica" w:cs="Helvetica"/>
                      <w:b/>
                      <w:bCs/>
                      <w:color w:val="808080"/>
                      <w:u w:val="single"/>
                    </w:rPr>
                    <w:t>General Information: Call for Abstracts Related to the Conference</w:t>
                  </w:r>
                </w:p>
                <w:p w:rsidR="00FA39EE" w:rsidRDefault="00FA39EE">
                  <w:pPr>
                    <w:spacing w:line="360" w:lineRule="auto"/>
                    <w:rPr>
                      <w:rFonts w:ascii="Calibri" w:hAnsi="Calibri"/>
                      <w:sz w:val="22"/>
                      <w:szCs w:val="22"/>
                    </w:rPr>
                  </w:pPr>
                  <w:r>
                    <w:rPr>
                      <w:rFonts w:ascii="Helvetica" w:hAnsi="Helvetica" w:cs="Helvetica"/>
                      <w:color w:val="606060"/>
                      <w:sz w:val="23"/>
                      <w:szCs w:val="23"/>
                    </w:rPr>
                    <w:br/>
                  </w:r>
                  <w:hyperlink r:id="rId7" w:tgtFrame="_blank" w:history="1">
                    <w:r>
                      <w:rPr>
                        <w:rStyle w:val="Hyperlink"/>
                        <w:b/>
                        <w:bCs/>
                        <w:color w:val="6DC6DD"/>
                        <w:sz w:val="23"/>
                        <w:szCs w:val="23"/>
                      </w:rPr>
                      <w:t>Click here to download</w:t>
                    </w:r>
                  </w:hyperlink>
                  <w:r>
                    <w:rPr>
                      <w:rFonts w:ascii="Helvetica" w:hAnsi="Helvetica" w:cs="Helvetica"/>
                      <w:color w:val="606060"/>
                      <w:sz w:val="23"/>
                      <w:szCs w:val="23"/>
                    </w:rPr>
                    <w:t xml:space="preserve"> complete abstract information and submission guide. </w:t>
                  </w:r>
                </w:p>
                <w:p w:rsidR="00FA39EE" w:rsidRDefault="00FA39EE">
                  <w:pPr>
                    <w:numPr>
                      <w:ilvl w:val="0"/>
                      <w:numId w:val="1"/>
                    </w:numPr>
                    <w:spacing w:line="360" w:lineRule="auto"/>
                    <w:rPr>
                      <w:rFonts w:ascii="Calibri" w:hAnsi="Calibri"/>
                      <w:color w:val="606060"/>
                      <w:sz w:val="22"/>
                      <w:szCs w:val="22"/>
                    </w:rPr>
                  </w:pPr>
                  <w:r>
                    <w:rPr>
                      <w:rFonts w:ascii="Helvetica" w:hAnsi="Helvetica" w:cs="Helvetica"/>
                      <w:color w:val="606060"/>
                      <w:sz w:val="23"/>
                      <w:szCs w:val="23"/>
                    </w:rPr>
                    <w:t>All proposals submitted will be blind reviewed and considered by a peer review committee for their potential contribution to the conference objectives.</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 xml:space="preserve">Presenters will be notified of the outcome of the review committee by </w:t>
                  </w:r>
                  <w:r>
                    <w:rPr>
                      <w:rFonts w:ascii="Helvetica" w:hAnsi="Helvetica" w:cs="Helvetica"/>
                      <w:b/>
                      <w:bCs/>
                      <w:color w:val="606060"/>
                      <w:sz w:val="23"/>
                      <w:szCs w:val="23"/>
                    </w:rPr>
                    <w:t>February 8, 2016</w:t>
                  </w:r>
                  <w:r>
                    <w:rPr>
                      <w:rFonts w:ascii="Helvetica" w:hAnsi="Helvetica" w:cs="Helvetica"/>
                      <w:color w:val="606060"/>
                      <w:sz w:val="23"/>
                      <w:szCs w:val="23"/>
                    </w:rPr>
                    <w:t xml:space="preserve">, and must confirm their participation by </w:t>
                  </w:r>
                  <w:r>
                    <w:rPr>
                      <w:rFonts w:ascii="Helvetica" w:hAnsi="Helvetica" w:cs="Helvetica"/>
                      <w:b/>
                      <w:bCs/>
                      <w:color w:val="606060"/>
                      <w:sz w:val="23"/>
                      <w:szCs w:val="23"/>
                    </w:rPr>
                    <w:t>February 19, 2016</w:t>
                  </w:r>
                  <w:r>
                    <w:rPr>
                      <w:rFonts w:ascii="Helvetica" w:hAnsi="Helvetica" w:cs="Helvetica"/>
                      <w:color w:val="606060"/>
                      <w:sz w:val="23"/>
                      <w:szCs w:val="23"/>
                    </w:rPr>
                    <w:t>.</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All presenters are expected to pay for their registration and travel expenses to the conference.</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lastRenderedPageBreak/>
                    <w:t>Contact hours will be awarded for these presentations, and, therefore the proposal will include two learner objectives (see the next section).</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Presentations will be scheduled for either 30 or 60 minute sessions including time allowed for questions and answers. You may indicate a preference on your abstract form but the final determination will be made by the selection committee.</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LCD projectors will be available for the presentations.</w:t>
                  </w:r>
                </w:p>
                <w:p w:rsidR="00FA39EE" w:rsidRDefault="00FA39EE">
                  <w:pPr>
                    <w:numPr>
                      <w:ilvl w:val="0"/>
                      <w:numId w:val="1"/>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Proposals not accepted for presentation may be asked to do a poster presentation.</w:t>
                  </w:r>
                </w:p>
                <w:p w:rsidR="00FA39EE" w:rsidRDefault="00FA39EE">
                  <w:pPr>
                    <w:spacing w:line="360" w:lineRule="auto"/>
                    <w:rPr>
                      <w:rFonts w:ascii="Calibri" w:hAnsi="Calibri"/>
                      <w:sz w:val="22"/>
                      <w:szCs w:val="22"/>
                    </w:rPr>
                  </w:pPr>
                  <w:r>
                    <w:rPr>
                      <w:rFonts w:ascii="Helvetica" w:hAnsi="Helvetica" w:cs="Helvetica"/>
                      <w:b/>
                      <w:bCs/>
                      <w:color w:val="606060"/>
                      <w:sz w:val="23"/>
                      <w:szCs w:val="23"/>
                    </w:rPr>
                    <w:t xml:space="preserve">Proposal Submission Guidelines </w:t>
                  </w:r>
                </w:p>
                <w:p w:rsidR="00FA39EE" w:rsidRDefault="00FA39EE">
                  <w:pPr>
                    <w:numPr>
                      <w:ilvl w:val="0"/>
                      <w:numId w:val="2"/>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Include two learner objectives (i.e., measurable outcomes of the presentation that complete the s sentence, “The learner will be able to….” each limited to 25 words or less).</w:t>
                  </w:r>
                </w:p>
                <w:p w:rsidR="00FA39EE" w:rsidRDefault="00FA39EE">
                  <w:pPr>
                    <w:numPr>
                      <w:ilvl w:val="0"/>
                      <w:numId w:val="2"/>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All proposals must be no more than 350 words (excluding title, author names, and affiliations).</w:t>
                  </w:r>
                </w:p>
                <w:p w:rsidR="00FA39EE" w:rsidRDefault="00FA39EE">
                  <w:pPr>
                    <w:numPr>
                      <w:ilvl w:val="0"/>
                      <w:numId w:val="2"/>
                    </w:numPr>
                    <w:spacing w:before="100" w:beforeAutospacing="1" w:line="360" w:lineRule="auto"/>
                    <w:rPr>
                      <w:rFonts w:ascii="Calibri" w:hAnsi="Calibri"/>
                      <w:color w:val="606060"/>
                      <w:sz w:val="22"/>
                      <w:szCs w:val="22"/>
                    </w:rPr>
                  </w:pPr>
                  <w:r>
                    <w:rPr>
                      <w:rFonts w:ascii="Helvetica" w:hAnsi="Helvetica" w:cs="Helvetica"/>
                      <w:color w:val="606060"/>
                      <w:sz w:val="23"/>
                      <w:szCs w:val="23"/>
                    </w:rPr>
                    <w:t>The proposal should be submitted in the following format:</w:t>
                  </w:r>
                </w:p>
                <w:p w:rsidR="00FA39EE" w:rsidRDefault="00FA39EE">
                  <w:pPr>
                    <w:spacing w:line="360" w:lineRule="auto"/>
                    <w:ind w:hanging="360"/>
                    <w:rPr>
                      <w:rFonts w:ascii="Calibri" w:hAnsi="Calibri"/>
                      <w:sz w:val="22"/>
                      <w:szCs w:val="22"/>
                    </w:rPr>
                  </w:pPr>
                  <w:r>
                    <w:rPr>
                      <w:rFonts w:ascii="Symbol" w:hAnsi="Symbol"/>
                      <w:color w:val="606060"/>
                      <w:sz w:val="20"/>
                      <w:szCs w:val="20"/>
                    </w:rPr>
                    <w:t></w:t>
                  </w:r>
                  <w:r>
                    <w:rPr>
                      <w:color w:val="606060"/>
                      <w:sz w:val="14"/>
                      <w:szCs w:val="14"/>
                    </w:rPr>
                    <w:t xml:space="preserve">         </w:t>
                  </w:r>
                  <w:r>
                    <w:rPr>
                      <w:rFonts w:ascii="Helvetica" w:hAnsi="Helvetica" w:cs="Helvetica"/>
                      <w:color w:val="606060"/>
                      <w:sz w:val="23"/>
                      <w:szCs w:val="23"/>
                    </w:rPr>
                    <w:t>The purpose or rationale</w:t>
                  </w:r>
                </w:p>
                <w:p w:rsidR="00FA39EE" w:rsidRDefault="00FA39EE">
                  <w:pPr>
                    <w:spacing w:line="360" w:lineRule="auto"/>
                    <w:ind w:hanging="360"/>
                    <w:rPr>
                      <w:rFonts w:ascii="Calibri" w:hAnsi="Calibri"/>
                      <w:sz w:val="22"/>
                      <w:szCs w:val="22"/>
                    </w:rPr>
                  </w:pPr>
                  <w:r>
                    <w:rPr>
                      <w:rFonts w:ascii="Symbol" w:hAnsi="Symbol"/>
                      <w:color w:val="606060"/>
                      <w:sz w:val="20"/>
                      <w:szCs w:val="20"/>
                    </w:rPr>
                    <w:t></w:t>
                  </w:r>
                  <w:r>
                    <w:rPr>
                      <w:color w:val="606060"/>
                      <w:sz w:val="14"/>
                      <w:szCs w:val="14"/>
                    </w:rPr>
                    <w:t xml:space="preserve">         </w:t>
                  </w:r>
                  <w:r>
                    <w:rPr>
                      <w:rFonts w:ascii="Helvetica" w:hAnsi="Helvetica" w:cs="Helvetica"/>
                      <w:color w:val="606060"/>
                      <w:sz w:val="23"/>
                      <w:szCs w:val="23"/>
                    </w:rPr>
                    <w:t>The background and significance</w:t>
                  </w:r>
                </w:p>
                <w:p w:rsidR="00FA39EE" w:rsidRDefault="00FA39EE">
                  <w:pPr>
                    <w:spacing w:line="360" w:lineRule="auto"/>
                    <w:ind w:hanging="360"/>
                    <w:rPr>
                      <w:rFonts w:ascii="Calibri" w:hAnsi="Calibri"/>
                      <w:sz w:val="22"/>
                      <w:szCs w:val="22"/>
                    </w:rPr>
                  </w:pPr>
                  <w:r>
                    <w:rPr>
                      <w:rFonts w:ascii="Symbol" w:hAnsi="Symbol"/>
                      <w:color w:val="606060"/>
                      <w:sz w:val="20"/>
                      <w:szCs w:val="20"/>
                    </w:rPr>
                    <w:t></w:t>
                  </w:r>
                  <w:r>
                    <w:rPr>
                      <w:color w:val="606060"/>
                      <w:sz w:val="14"/>
                      <w:szCs w:val="14"/>
                    </w:rPr>
                    <w:t xml:space="preserve">         </w:t>
                  </w:r>
                  <w:r>
                    <w:rPr>
                      <w:rFonts w:ascii="Helvetica" w:hAnsi="Helvetica" w:cs="Helvetica"/>
                      <w:color w:val="606060"/>
                      <w:sz w:val="23"/>
                      <w:szCs w:val="23"/>
                    </w:rPr>
                    <w:t>Methods and data</w:t>
                  </w:r>
                </w:p>
                <w:p w:rsidR="00FA39EE" w:rsidRDefault="00FA39EE">
                  <w:pPr>
                    <w:spacing w:line="360" w:lineRule="auto"/>
                    <w:ind w:hanging="360"/>
                    <w:rPr>
                      <w:rFonts w:ascii="Calibri" w:hAnsi="Calibri"/>
                      <w:sz w:val="22"/>
                      <w:szCs w:val="22"/>
                    </w:rPr>
                  </w:pPr>
                  <w:r>
                    <w:rPr>
                      <w:rFonts w:ascii="Symbol" w:hAnsi="Symbol"/>
                      <w:color w:val="606060"/>
                      <w:sz w:val="20"/>
                      <w:szCs w:val="20"/>
                    </w:rPr>
                    <w:t></w:t>
                  </w:r>
                  <w:r>
                    <w:rPr>
                      <w:color w:val="606060"/>
                      <w:sz w:val="14"/>
                      <w:szCs w:val="14"/>
                    </w:rPr>
                    <w:t xml:space="preserve">         </w:t>
                  </w:r>
                  <w:r>
                    <w:rPr>
                      <w:rFonts w:ascii="Helvetica" w:hAnsi="Helvetica" w:cs="Helvetica"/>
                      <w:color w:val="606060"/>
                      <w:sz w:val="23"/>
                      <w:szCs w:val="23"/>
                    </w:rPr>
                    <w:t>Major outcomes</w:t>
                  </w:r>
                </w:p>
                <w:p w:rsidR="00FA39EE" w:rsidRDefault="00FA39EE">
                  <w:pPr>
                    <w:spacing w:line="360" w:lineRule="auto"/>
                    <w:ind w:hanging="360"/>
                    <w:rPr>
                      <w:rFonts w:ascii="Calibri" w:hAnsi="Calibri"/>
                      <w:sz w:val="22"/>
                      <w:szCs w:val="22"/>
                    </w:rPr>
                  </w:pPr>
                  <w:r>
                    <w:rPr>
                      <w:rFonts w:ascii="Symbol" w:hAnsi="Symbol"/>
                      <w:color w:val="606060"/>
                      <w:sz w:val="20"/>
                      <w:szCs w:val="20"/>
                    </w:rPr>
                    <w:t></w:t>
                  </w:r>
                  <w:r>
                    <w:rPr>
                      <w:color w:val="606060"/>
                      <w:sz w:val="14"/>
                      <w:szCs w:val="14"/>
                    </w:rPr>
                    <w:t xml:space="preserve">         </w:t>
                  </w:r>
                  <w:r>
                    <w:rPr>
                      <w:rFonts w:ascii="Helvetica" w:hAnsi="Helvetica" w:cs="Helvetica"/>
                      <w:color w:val="606060"/>
                      <w:sz w:val="23"/>
                      <w:szCs w:val="23"/>
                    </w:rPr>
                    <w:t>Conclusions, including implications for collaboration</w:t>
                  </w:r>
                </w:p>
                <w:p w:rsidR="00FA39EE" w:rsidRDefault="00FA39EE">
                  <w:pPr>
                    <w:numPr>
                      <w:ilvl w:val="0"/>
                      <w:numId w:val="3"/>
                    </w:numPr>
                    <w:spacing w:after="100" w:afterAutospacing="1" w:line="360" w:lineRule="auto"/>
                    <w:rPr>
                      <w:rFonts w:ascii="Calibri" w:hAnsi="Calibri"/>
                      <w:color w:val="606060"/>
                      <w:sz w:val="22"/>
                      <w:szCs w:val="22"/>
                    </w:rPr>
                  </w:pPr>
                  <w:r>
                    <w:rPr>
                      <w:rFonts w:ascii="Helvetica" w:hAnsi="Helvetica" w:cs="Helvetica"/>
                      <w:color w:val="606060"/>
                      <w:sz w:val="23"/>
                      <w:szCs w:val="23"/>
                    </w:rPr>
                    <w:t>Contact and brief biographical information for each presenter should be included on a separate page. </w:t>
                  </w:r>
                </w:p>
                <w:p w:rsidR="00FA39EE" w:rsidRDefault="00FA39EE">
                  <w:pPr>
                    <w:spacing w:line="360" w:lineRule="auto"/>
                    <w:rPr>
                      <w:rFonts w:ascii="Calibri" w:hAnsi="Calibri"/>
                      <w:sz w:val="22"/>
                      <w:szCs w:val="22"/>
                    </w:rPr>
                  </w:pPr>
                  <w:r>
                    <w:rPr>
                      <w:rFonts w:ascii="Helvetica" w:hAnsi="Helvetica" w:cs="Helvetica"/>
                      <w:b/>
                      <w:bCs/>
                      <w:color w:val="606060"/>
                      <w:sz w:val="23"/>
                      <w:szCs w:val="23"/>
                    </w:rPr>
                    <w:t>Selection Criteria</w:t>
                  </w:r>
                  <w:r>
                    <w:rPr>
                      <w:rFonts w:ascii="Helvetica" w:hAnsi="Helvetica" w:cs="Helvetica"/>
                      <w:color w:val="606060"/>
                      <w:sz w:val="23"/>
                      <w:szCs w:val="23"/>
                    </w:rPr>
                    <w:br/>
                    <w:t xml:space="preserve"> Submission will be rated on the following: </w:t>
                  </w:r>
                </w:p>
                <w:p w:rsidR="00FA39EE" w:rsidRDefault="00FA39EE">
                  <w:pPr>
                    <w:numPr>
                      <w:ilvl w:val="0"/>
                      <w:numId w:val="4"/>
                    </w:numPr>
                    <w:spacing w:after="100" w:afterAutospacing="1" w:line="360" w:lineRule="auto"/>
                    <w:rPr>
                      <w:rFonts w:ascii="Calibri" w:hAnsi="Calibri"/>
                      <w:color w:val="606060"/>
                      <w:sz w:val="22"/>
                      <w:szCs w:val="22"/>
                    </w:rPr>
                  </w:pPr>
                  <w:r>
                    <w:rPr>
                      <w:rFonts w:ascii="Helvetica" w:hAnsi="Helvetica" w:cs="Helvetica"/>
                      <w:color w:val="606060"/>
                      <w:sz w:val="23"/>
                      <w:szCs w:val="23"/>
                    </w:rPr>
                    <w:t>Overall quality</w:t>
                  </w:r>
                </w:p>
                <w:p w:rsidR="00FA39EE" w:rsidRDefault="00FA39EE">
                  <w:pPr>
                    <w:numPr>
                      <w:ilvl w:val="0"/>
                      <w:numId w:val="4"/>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Focus or topic</w:t>
                  </w:r>
                </w:p>
                <w:p w:rsidR="00FA39EE" w:rsidRDefault="00FA39EE">
                  <w:pPr>
                    <w:numPr>
                      <w:ilvl w:val="0"/>
                      <w:numId w:val="4"/>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Outcomes</w:t>
                  </w:r>
                </w:p>
                <w:p w:rsidR="00FA39EE" w:rsidRDefault="00FA39EE">
                  <w:pPr>
                    <w:numPr>
                      <w:ilvl w:val="0"/>
                      <w:numId w:val="4"/>
                    </w:numPr>
                    <w:spacing w:before="100" w:beforeAutospacing="1" w:after="100" w:afterAutospacing="1" w:line="360" w:lineRule="auto"/>
                    <w:rPr>
                      <w:rFonts w:ascii="Calibri" w:hAnsi="Calibri"/>
                      <w:color w:val="606060"/>
                      <w:sz w:val="22"/>
                      <w:szCs w:val="22"/>
                    </w:rPr>
                  </w:pPr>
                  <w:r>
                    <w:rPr>
                      <w:rFonts w:ascii="Helvetica" w:hAnsi="Helvetica" w:cs="Helvetica"/>
                      <w:color w:val="606060"/>
                      <w:sz w:val="23"/>
                      <w:szCs w:val="23"/>
                    </w:rPr>
                    <w:t xml:space="preserve">Applicability to the Conference objectives: </w:t>
                  </w:r>
                </w:p>
                <w:p w:rsidR="00FA39EE" w:rsidRDefault="00FA39EE">
                  <w:pPr>
                    <w:spacing w:line="360" w:lineRule="auto"/>
                    <w:ind w:hanging="360"/>
                    <w:rPr>
                      <w:rFonts w:ascii="Calibri" w:hAnsi="Calibri"/>
                      <w:sz w:val="22"/>
                      <w:szCs w:val="22"/>
                    </w:rPr>
                  </w:pPr>
                  <w:proofErr w:type="gramStart"/>
                  <w:r>
                    <w:rPr>
                      <w:rFonts w:ascii="Courier New" w:hAnsi="Courier New" w:cs="Courier New"/>
                      <w:color w:val="606060"/>
                      <w:sz w:val="20"/>
                      <w:szCs w:val="20"/>
                    </w:rPr>
                    <w:lastRenderedPageBreak/>
                    <w:t>o</w:t>
                  </w:r>
                  <w:proofErr w:type="gramEnd"/>
                  <w:r>
                    <w:rPr>
                      <w:color w:val="606060"/>
                      <w:sz w:val="14"/>
                      <w:szCs w:val="14"/>
                    </w:rPr>
                    <w:t xml:space="preserve">    </w:t>
                  </w:r>
                  <w:r>
                    <w:rPr>
                      <w:rFonts w:ascii="Helvetica" w:hAnsi="Helvetica" w:cs="Helvetica"/>
                      <w:color w:val="606060"/>
                      <w:sz w:val="23"/>
                      <w:szCs w:val="23"/>
                    </w:rPr>
                    <w:t>Identify strategies and best practices for establishing successful collaborative relationships.</w:t>
                  </w:r>
                </w:p>
                <w:p w:rsidR="00FA39EE" w:rsidRDefault="00FA39EE">
                  <w:pPr>
                    <w:spacing w:line="360" w:lineRule="auto"/>
                    <w:ind w:hanging="360"/>
                    <w:rPr>
                      <w:rFonts w:ascii="Calibri" w:hAnsi="Calibri"/>
                      <w:sz w:val="22"/>
                      <w:szCs w:val="22"/>
                    </w:rPr>
                  </w:pPr>
                  <w:proofErr w:type="gramStart"/>
                  <w:r>
                    <w:rPr>
                      <w:rFonts w:ascii="Courier New" w:hAnsi="Courier New" w:cs="Courier New"/>
                      <w:color w:val="606060"/>
                      <w:sz w:val="20"/>
                      <w:szCs w:val="20"/>
                    </w:rPr>
                    <w:t>o</w:t>
                  </w:r>
                  <w:proofErr w:type="gramEnd"/>
                  <w:r>
                    <w:rPr>
                      <w:color w:val="606060"/>
                      <w:sz w:val="14"/>
                      <w:szCs w:val="14"/>
                    </w:rPr>
                    <w:t xml:space="preserve">    </w:t>
                  </w:r>
                  <w:r>
                    <w:rPr>
                      <w:rFonts w:ascii="Helvetica" w:hAnsi="Helvetica" w:cs="Helvetica"/>
                      <w:color w:val="606060"/>
                      <w:sz w:val="23"/>
                      <w:szCs w:val="23"/>
                    </w:rPr>
                    <w:t>Describe the challenges and opportunities to enhance cooperation among similar and dissimilar groups.</w:t>
                  </w:r>
                </w:p>
                <w:p w:rsidR="00FA39EE" w:rsidRDefault="00FA39EE">
                  <w:pPr>
                    <w:spacing w:line="360" w:lineRule="auto"/>
                    <w:ind w:hanging="360"/>
                    <w:rPr>
                      <w:rFonts w:ascii="Calibri" w:hAnsi="Calibri"/>
                      <w:sz w:val="22"/>
                      <w:szCs w:val="22"/>
                    </w:rPr>
                  </w:pPr>
                  <w:proofErr w:type="gramStart"/>
                  <w:r>
                    <w:rPr>
                      <w:rFonts w:ascii="Courier New" w:hAnsi="Courier New" w:cs="Courier New"/>
                      <w:color w:val="606060"/>
                      <w:sz w:val="20"/>
                      <w:szCs w:val="20"/>
                    </w:rPr>
                    <w:t>o</w:t>
                  </w:r>
                  <w:proofErr w:type="gramEnd"/>
                  <w:r>
                    <w:rPr>
                      <w:color w:val="606060"/>
                      <w:sz w:val="14"/>
                      <w:szCs w:val="14"/>
                    </w:rPr>
                    <w:t xml:space="preserve">    </w:t>
                  </w:r>
                  <w:r>
                    <w:rPr>
                      <w:rFonts w:ascii="Helvetica" w:hAnsi="Helvetica" w:cs="Helvetica"/>
                      <w:color w:val="606060"/>
                      <w:sz w:val="23"/>
                      <w:szCs w:val="23"/>
                    </w:rPr>
                    <w:t>Identify communication mechanisms to engage the larger audience and optimize the use of social media.</w:t>
                  </w:r>
                </w:p>
                <w:p w:rsidR="00FA39EE" w:rsidRDefault="00FA39EE">
                  <w:pPr>
                    <w:spacing w:line="360" w:lineRule="auto"/>
                    <w:ind w:hanging="360"/>
                    <w:rPr>
                      <w:rFonts w:ascii="Calibri" w:hAnsi="Calibri"/>
                      <w:sz w:val="22"/>
                      <w:szCs w:val="22"/>
                    </w:rPr>
                  </w:pPr>
                  <w:proofErr w:type="gramStart"/>
                  <w:r>
                    <w:rPr>
                      <w:rFonts w:ascii="Courier New" w:hAnsi="Courier New" w:cs="Courier New"/>
                      <w:color w:val="606060"/>
                      <w:sz w:val="20"/>
                      <w:szCs w:val="20"/>
                    </w:rPr>
                    <w:t>o</w:t>
                  </w:r>
                  <w:proofErr w:type="gramEnd"/>
                  <w:r>
                    <w:rPr>
                      <w:color w:val="606060"/>
                      <w:sz w:val="14"/>
                      <w:szCs w:val="14"/>
                    </w:rPr>
                    <w:t xml:space="preserve">    </w:t>
                  </w:r>
                  <w:r>
                    <w:rPr>
                      <w:rFonts w:ascii="Helvetica" w:hAnsi="Helvetica" w:cs="Helvetica"/>
                      <w:color w:val="606060"/>
                      <w:sz w:val="23"/>
                      <w:szCs w:val="23"/>
                    </w:rPr>
                    <w:t>Demonstrate the relationship between the health workforce and population health outcomes.</w:t>
                  </w:r>
                </w:p>
                <w:p w:rsidR="00FA39EE" w:rsidRDefault="00FA39EE">
                  <w:pPr>
                    <w:spacing w:line="360" w:lineRule="auto"/>
                    <w:ind w:hanging="360"/>
                    <w:rPr>
                      <w:rFonts w:ascii="Calibri" w:hAnsi="Calibri"/>
                      <w:sz w:val="22"/>
                      <w:szCs w:val="22"/>
                    </w:rPr>
                  </w:pPr>
                  <w:r>
                    <w:rPr>
                      <w:rFonts w:ascii="Courier New" w:hAnsi="Courier New" w:cs="Courier New"/>
                      <w:color w:val="606060"/>
                      <w:sz w:val="20"/>
                      <w:szCs w:val="20"/>
                    </w:rPr>
                    <w:t>o</w:t>
                  </w:r>
                  <w:r>
                    <w:rPr>
                      <w:color w:val="606060"/>
                      <w:sz w:val="14"/>
                      <w:szCs w:val="14"/>
                    </w:rPr>
                    <w:t xml:space="preserve">    </w:t>
                  </w:r>
                  <w:r>
                    <w:rPr>
                      <w:rFonts w:ascii="Helvetica" w:hAnsi="Helvetica" w:cs="Helvetica"/>
                      <w:color w:val="606060"/>
                      <w:sz w:val="23"/>
                      <w:szCs w:val="23"/>
                    </w:rPr>
                    <w:t>Other nursing workforce issues or projects</w:t>
                  </w:r>
                </w:p>
                <w:p w:rsidR="00FA39EE" w:rsidRDefault="00FA39EE">
                  <w:pPr>
                    <w:spacing w:line="360" w:lineRule="auto"/>
                    <w:rPr>
                      <w:rFonts w:ascii="Calibri" w:hAnsi="Calibri"/>
                      <w:sz w:val="22"/>
                      <w:szCs w:val="22"/>
                    </w:rPr>
                  </w:pPr>
                  <w:r>
                    <w:rPr>
                      <w:rFonts w:ascii="Helvetica" w:hAnsi="Helvetica" w:cs="Helvetica"/>
                      <w:color w:val="606060"/>
                      <w:sz w:val="23"/>
                      <w:szCs w:val="23"/>
                    </w:rPr>
                    <w:t>Following the template (</w:t>
                  </w:r>
                  <w:hyperlink r:id="rId8" w:tgtFrame="_blank" w:history="1">
                    <w:r>
                      <w:rPr>
                        <w:rStyle w:val="Hyperlink"/>
                        <w:b/>
                        <w:bCs/>
                        <w:color w:val="6DC6DD"/>
                        <w:sz w:val="23"/>
                        <w:szCs w:val="23"/>
                      </w:rPr>
                      <w:t>click here to download</w:t>
                    </w:r>
                  </w:hyperlink>
                  <w:r>
                    <w:rPr>
                      <w:rFonts w:ascii="Helvetica" w:hAnsi="Helvetica" w:cs="Helvetica"/>
                      <w:b/>
                      <w:bCs/>
                      <w:color w:val="606060"/>
                      <w:sz w:val="23"/>
                      <w:szCs w:val="23"/>
                    </w:rPr>
                    <w:t>)</w:t>
                  </w:r>
                  <w:r>
                    <w:rPr>
                      <w:rFonts w:ascii="Helvetica" w:hAnsi="Helvetica" w:cs="Helvetica"/>
                      <w:color w:val="606060"/>
                      <w:sz w:val="23"/>
                      <w:szCs w:val="23"/>
                    </w:rPr>
                    <w:t xml:space="preserve"> on pages 3- 4, complete the presentation proposal, based on the above guidelines and send by email attachment to Pam Lauer at </w:t>
                  </w:r>
                  <w:hyperlink r:id="rId9" w:history="1">
                    <w:r>
                      <w:rPr>
                        <w:rStyle w:val="Hyperlink"/>
                        <w:rFonts w:ascii="Helvetica" w:hAnsi="Helvetica" w:cs="Helvetica"/>
                        <w:b/>
                        <w:bCs/>
                        <w:color w:val="0563C1"/>
                        <w:sz w:val="23"/>
                        <w:szCs w:val="23"/>
                      </w:rPr>
                      <w:t>TCNWS@dshs.texas.gov</w:t>
                    </w:r>
                  </w:hyperlink>
                  <w:r>
                    <w:rPr>
                      <w:rFonts w:ascii="Calibri" w:hAnsi="Calibri"/>
                      <w:sz w:val="22"/>
                      <w:szCs w:val="22"/>
                    </w:rPr>
                    <w:t xml:space="preserve"> or call 512-776-6723.</w:t>
                  </w:r>
                </w:p>
                <w:p w:rsidR="00FA39EE" w:rsidRDefault="00FA39EE">
                  <w:pPr>
                    <w:spacing w:line="360" w:lineRule="auto"/>
                    <w:rPr>
                      <w:rFonts w:ascii="Calibri" w:hAnsi="Calibri"/>
                      <w:sz w:val="22"/>
                      <w:szCs w:val="22"/>
                    </w:rPr>
                  </w:pPr>
                  <w:r>
                    <w:rPr>
                      <w:rFonts w:ascii="Helvetica" w:hAnsi="Helvetica" w:cs="Helvetica"/>
                      <w:color w:val="606060"/>
                      <w:sz w:val="23"/>
                      <w:szCs w:val="23"/>
                    </w:rPr>
                    <w:t>Please do not put any identifying information on the proposal itself.  The title should appear on the proposal, but complete the contact and brief biographical information on page 4 of this document.                       </w:t>
                  </w:r>
                  <w:r>
                    <w:rPr>
                      <w:rFonts w:ascii="Helvetica" w:hAnsi="Helvetica" w:cs="Helvetica"/>
                      <w:color w:val="606060"/>
                      <w:sz w:val="23"/>
                      <w:szCs w:val="23"/>
                    </w:rPr>
                    <w:br/>
                  </w:r>
                  <w:r>
                    <w:rPr>
                      <w:rFonts w:ascii="Helvetica" w:hAnsi="Helvetica" w:cs="Helvetica"/>
                      <w:b/>
                      <w:bCs/>
                      <w:color w:val="FF3333"/>
                      <w:sz w:val="23"/>
                      <w:szCs w:val="23"/>
                    </w:rPr>
                    <w:t>Abstracts are due November 30, 2015.</w:t>
                  </w:r>
                </w:p>
              </w:tc>
            </w:tr>
          </w:tbl>
          <w:p w:rsidR="00FA39EE" w:rsidRDefault="00FA39EE">
            <w:pPr>
              <w:rPr>
                <w:rFonts w:asciiTheme="minorHAnsi" w:hAnsiTheme="minorHAnsi"/>
                <w:sz w:val="22"/>
                <w:szCs w:val="22"/>
              </w:rPr>
            </w:pPr>
          </w:p>
        </w:tc>
      </w:tr>
    </w:tbl>
    <w:p w:rsidR="0032453D" w:rsidRDefault="00FA39EE"/>
    <w:sectPr w:rsidR="0032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A74"/>
    <w:multiLevelType w:val="multilevel"/>
    <w:tmpl w:val="AFF4D3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4A4635"/>
    <w:multiLevelType w:val="multilevel"/>
    <w:tmpl w:val="5F26B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85644A"/>
    <w:multiLevelType w:val="multilevel"/>
    <w:tmpl w:val="554A8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D61C54"/>
    <w:multiLevelType w:val="multilevel"/>
    <w:tmpl w:val="D3282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EE"/>
    <w:rsid w:val="004A7BE5"/>
    <w:rsid w:val="00D91663"/>
    <w:rsid w:val="00FA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C6766-90F2-47B6-B670-90E3359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centerfornursing.us10.list-manage.com/track/click?u=2abdcaaeb57705ae2eeb494a6&amp;id=980fe9885d&amp;e=8f7d72d524" TargetMode="External"/><Relationship Id="rId3" Type="http://schemas.openxmlformats.org/officeDocument/2006/relationships/settings" Target="settings.xml"/><Relationship Id="rId7" Type="http://schemas.openxmlformats.org/officeDocument/2006/relationships/hyperlink" Target="http://ndcenterfornursing.us10.list-manage2.com/track/click?u=2abdcaaeb57705ae2eeb494a6&amp;id=e7ef69fdd8&amp;e=8f7d72d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126F.1AD632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NWS@ds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Salfinger</dc:creator>
  <cp:keywords/>
  <dc:description/>
  <cp:lastModifiedBy>Max Salfinger</cp:lastModifiedBy>
  <cp:revision>1</cp:revision>
  <dcterms:created xsi:type="dcterms:W3CDTF">2015-11-04T01:16:00Z</dcterms:created>
  <dcterms:modified xsi:type="dcterms:W3CDTF">2015-11-04T01:22:00Z</dcterms:modified>
</cp:coreProperties>
</file>